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C2A208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402B0D" w:rsidRPr="00402B0D">
        <w:rPr>
          <w:bCs/>
          <w:noProof w:val="0"/>
          <w:sz w:val="24"/>
          <w:szCs w:val="24"/>
        </w:rPr>
        <w:t>R2-1904411</w:t>
      </w:r>
    </w:p>
    <w:p w14:paraId="11776FA6" w14:textId="2A1C0B4E"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638A7"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212C18">
        <w:rPr>
          <w:rFonts w:cs="Arial"/>
          <w:b/>
          <w:bCs/>
          <w:sz w:val="24"/>
          <w:lang w:eastAsia="ja-JP"/>
        </w:rPr>
        <w:t>11</w:t>
      </w:r>
      <w:r w:rsidRPr="00212C18">
        <w:rPr>
          <w:rFonts w:cs="Arial"/>
          <w:b/>
          <w:bCs/>
          <w:sz w:val="24"/>
          <w:lang w:eastAsia="ja-JP"/>
        </w:rPr>
        <w:t>.</w:t>
      </w:r>
      <w:r w:rsidR="00AB057E" w:rsidRPr="00212C18">
        <w:rPr>
          <w:rFonts w:cs="Arial"/>
          <w:b/>
          <w:bCs/>
          <w:sz w:val="24"/>
          <w:lang w:eastAsia="ja-JP"/>
        </w:rPr>
        <w:t>1</w:t>
      </w:r>
      <w:r w:rsidRPr="00212C18">
        <w:rPr>
          <w:rFonts w:cs="Arial"/>
          <w:b/>
          <w:bCs/>
          <w:sz w:val="24"/>
          <w:lang w:eastAsia="ja-JP"/>
        </w:rPr>
        <w:t>.</w:t>
      </w:r>
      <w:r w:rsidR="007F301A">
        <w:rPr>
          <w:rFonts w:cs="Arial"/>
          <w:b/>
          <w:bCs/>
          <w:sz w:val="24"/>
          <w:lang w:eastAsia="ja-JP"/>
        </w:rPr>
        <w:t>5</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59BF919A"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7F301A">
        <w:rPr>
          <w:rFonts w:ascii="Arial" w:hAnsi="Arial" w:cs="Arial"/>
          <w:b/>
          <w:bCs/>
          <w:sz w:val="24"/>
        </w:rPr>
        <w:t>Further discussion on BH link RLF handling</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3D4ADA1" w14:textId="77777777" w:rsidR="007F301A" w:rsidRDefault="007F301A" w:rsidP="00A209D6">
      <w:r>
        <w:t>RAN2 tentatively discussed handling of BH link RLF in IAB during RAN2#105 meeting touching upon several aspects:</w:t>
      </w:r>
    </w:p>
    <w:p w14:paraId="0DDF1ADD" w14:textId="77777777" w:rsidR="007F301A" w:rsidRDefault="007F301A" w:rsidP="007F301A">
      <w:pPr>
        <w:pStyle w:val="ListParagraph"/>
        <w:numPr>
          <w:ilvl w:val="0"/>
          <w:numId w:val="9"/>
        </w:numPr>
      </w:pPr>
      <w:r>
        <w:t>BH link recovery in single-connected mode</w:t>
      </w:r>
    </w:p>
    <w:p w14:paraId="7AA4C20B" w14:textId="77777777" w:rsidR="007F301A" w:rsidRDefault="007F301A" w:rsidP="007F301A">
      <w:pPr>
        <w:pStyle w:val="ListParagraph"/>
        <w:numPr>
          <w:ilvl w:val="0"/>
          <w:numId w:val="9"/>
        </w:numPr>
      </w:pPr>
      <w:r>
        <w:t xml:space="preserve">BH link recovery id dual-connectivity mode </w:t>
      </w:r>
    </w:p>
    <w:p w14:paraId="02ADC2EF" w14:textId="203D149B" w:rsidR="007F301A" w:rsidRDefault="007F301A" w:rsidP="007F301A">
      <w:pPr>
        <w:pStyle w:val="ListParagraph"/>
        <w:numPr>
          <w:ilvl w:val="0"/>
          <w:numId w:val="9"/>
        </w:numPr>
      </w:pPr>
      <w:r>
        <w:t>BH RLF notification to downstream an upstream IAB nodes</w:t>
      </w:r>
    </w:p>
    <w:p w14:paraId="52676595" w14:textId="6C27F4ED" w:rsidR="007F301A" w:rsidRDefault="007F301A" w:rsidP="00A209D6">
      <w:r w:rsidRPr="007F301A">
        <w:t xml:space="preserve">This paper provides further considerations on </w:t>
      </w:r>
      <w:r w:rsidR="00FF7D5E">
        <w:t>first two issues while</w:t>
      </w:r>
      <w:r w:rsidR="00FF7D5E" w:rsidRPr="007F301A">
        <w:t xml:space="preserve"> t</w:t>
      </w:r>
      <w:r w:rsidR="00FF7D5E">
        <w:t>he</w:t>
      </w:r>
      <w:r w:rsidR="00FF7D5E" w:rsidRPr="007F301A">
        <w:t xml:space="preserve"> issue</w:t>
      </w:r>
      <w:r w:rsidR="00FF7D5E">
        <w:t xml:space="preserve"> of BH link RLF notifications </w:t>
      </w:r>
      <w:r w:rsidR="0038174B">
        <w:t xml:space="preserve">is </w:t>
      </w:r>
      <w:r w:rsidR="00FF7D5E">
        <w:t xml:space="preserve">discussed in a companion paper in </w:t>
      </w:r>
      <w:r w:rsidR="00FF7D5E" w:rsidRPr="00DD06D8">
        <w:t>[</w:t>
      </w:r>
      <w:r w:rsidR="00DD06D8" w:rsidRPr="00DD06D8">
        <w:t>3</w:t>
      </w:r>
      <w:r w:rsidR="00FF7D5E" w:rsidRPr="00DD06D8">
        <w:t>].</w:t>
      </w:r>
    </w:p>
    <w:p w14:paraId="2BBFF540" w14:textId="63BF11E7" w:rsidR="00A209D6" w:rsidRPr="00212C18" w:rsidRDefault="00A209D6" w:rsidP="00A209D6">
      <w:pPr>
        <w:pStyle w:val="Heading1"/>
      </w:pPr>
      <w:r w:rsidRPr="00212C18">
        <w:t>2</w:t>
      </w:r>
      <w:r w:rsidRPr="00212C18">
        <w:tab/>
      </w:r>
      <w:r w:rsidR="007F301A">
        <w:t>RLF in dual-connected IAB node</w:t>
      </w:r>
    </w:p>
    <w:p w14:paraId="13774AA3" w14:textId="6C13A038" w:rsidR="007F301A" w:rsidRDefault="007F301A" w:rsidP="00A209D6">
      <w:r>
        <w:t>The following agreement was reached with respect to BH link RLF handling in DC mode during the last meeting:</w:t>
      </w:r>
    </w:p>
    <w:tbl>
      <w:tblPr>
        <w:tblStyle w:val="TableGrid"/>
        <w:tblW w:w="0" w:type="auto"/>
        <w:tblLook w:val="04A0" w:firstRow="1" w:lastRow="0" w:firstColumn="1" w:lastColumn="0" w:noHBand="0" w:noVBand="1"/>
      </w:tblPr>
      <w:tblGrid>
        <w:gridCol w:w="9631"/>
      </w:tblGrid>
      <w:tr w:rsidR="007F301A" w14:paraId="45A71C72" w14:textId="77777777" w:rsidTr="007F301A">
        <w:tc>
          <w:tcPr>
            <w:tcW w:w="9631" w:type="dxa"/>
          </w:tcPr>
          <w:p w14:paraId="5F6F2339" w14:textId="1B637DBE" w:rsidR="007F301A" w:rsidRDefault="007F301A" w:rsidP="00A209D6">
            <w:pPr>
              <w:pStyle w:val="Agreement"/>
            </w:pPr>
            <w:r>
              <w:t xml:space="preserve">Alternate Routes and/or Dual Connectivity (if agreed) could be utilised at recovery at a failure of a BH link. </w:t>
            </w:r>
          </w:p>
        </w:tc>
      </w:tr>
    </w:tbl>
    <w:p w14:paraId="47F68525" w14:textId="52DBA755" w:rsidR="007F301A" w:rsidRDefault="007F301A" w:rsidP="00A209D6"/>
    <w:p w14:paraId="75EEF260" w14:textId="2448E754" w:rsidR="007F301A" w:rsidRDefault="007F301A" w:rsidP="00A209D6">
      <w:r>
        <w:t xml:space="preserve">It </w:t>
      </w:r>
      <w:r w:rsidR="00B50706">
        <w:t>is also</w:t>
      </w:r>
      <w:r>
        <w:t xml:space="preserve"> proposed in </w:t>
      </w:r>
      <w:r w:rsidR="00B50706">
        <w:t>the summary of the e-mail discussion “</w:t>
      </w:r>
      <w:r w:rsidR="00B50706" w:rsidRPr="00B50706">
        <w:t>[105#</w:t>
      </w:r>
      <w:proofErr w:type="gramStart"/>
      <w:r w:rsidR="00B50706" w:rsidRPr="00B50706">
        <w:t>45][</w:t>
      </w:r>
      <w:proofErr w:type="gramEnd"/>
      <w:r w:rsidR="00B50706" w:rsidRPr="00B50706">
        <w:t xml:space="preserve">IAB] R2+R3: IAB </w:t>
      </w:r>
      <w:proofErr w:type="spellStart"/>
      <w:r w:rsidR="00B50706" w:rsidRPr="00B50706">
        <w:t>Misc</w:t>
      </w:r>
      <w:proofErr w:type="spellEnd"/>
      <w:r w:rsidR="00B50706" w:rsidRPr="00B50706">
        <w:t xml:space="preserve"> (Qualcomm)</w:t>
      </w:r>
      <w:r w:rsidR="00B50706">
        <w:t xml:space="preserve">” that </w:t>
      </w:r>
      <w:r w:rsidR="00B50706" w:rsidRPr="00B50706">
        <w:t>NR DC is used to enable route redundancy for IAB-nodes operating in SA-mode.</w:t>
      </w:r>
      <w:r w:rsidR="00B50706">
        <w:t xml:space="preserve"> We agree NR DC framework can be reused and so </w:t>
      </w:r>
      <w:proofErr w:type="gramStart"/>
      <w:r w:rsidR="00B50706">
        <w:t>far</w:t>
      </w:r>
      <w:proofErr w:type="gramEnd"/>
      <w:r w:rsidR="00B50706">
        <w:t xml:space="preserve"> there is no issue identified that would prevent </w:t>
      </w:r>
      <w:r w:rsidR="00AD7A58">
        <w:t xml:space="preserve">3GPP </w:t>
      </w:r>
      <w:r w:rsidR="00B50706">
        <w:t>from doing so. In addition, as explained in [1]</w:t>
      </w:r>
      <w:r w:rsidR="00AD7A58">
        <w:t>, there are many complexities related to applying the only alternative mentioned so far, i.e. multi-MT support in a single IAB node:</w:t>
      </w:r>
    </w:p>
    <w:p w14:paraId="7E51B946" w14:textId="1C846182" w:rsidR="00AD7A58" w:rsidRDefault="00AD7A58" w:rsidP="00AD7A58">
      <w:pPr>
        <w:pStyle w:val="ListParagraph"/>
        <w:numPr>
          <w:ilvl w:val="0"/>
          <w:numId w:val="9"/>
        </w:numPr>
      </w:pPr>
      <w:r>
        <w:t xml:space="preserve">Support of multi-MT complicates routing in uplink direction as IAB DU needs to choose the MT function for routing </w:t>
      </w:r>
    </w:p>
    <w:p w14:paraId="248039E7" w14:textId="77777777" w:rsidR="00AD7A58" w:rsidRDefault="00AD7A58" w:rsidP="006A0494">
      <w:pPr>
        <w:pStyle w:val="ListParagraph"/>
        <w:numPr>
          <w:ilvl w:val="0"/>
          <w:numId w:val="9"/>
        </w:numPr>
      </w:pPr>
      <w:r>
        <w:t>Specifying multi-connectivity solution based on multiple MT functions per IAB node would require additional effort from RAN WGs to address issues such as coordination between MT functions, how parent nodes are chosen, how measurements are reported etc. For NR-DC those aspects are already covered by an existing framework.</w:t>
      </w:r>
    </w:p>
    <w:p w14:paraId="20A503E6" w14:textId="77777777" w:rsidR="00AD7A58" w:rsidRDefault="00AD7A58" w:rsidP="00AD7A58">
      <w:pPr>
        <w:pStyle w:val="ListParagraph"/>
        <w:numPr>
          <w:ilvl w:val="0"/>
          <w:numId w:val="9"/>
        </w:numPr>
      </w:pPr>
      <w:r>
        <w:t>Intra-frequency multi-connectivity requires the same amount of additional work from RAN1 and RAN4 regardless of whether it is based on NR-DC or multi-MT solution. Moreover, aspects of intra-frequency NR-DC are to be covered by other work items related to mobility or dual connectivity enhancements and IAB could reuse this, once ready. There is no plan to work on multi-MT case in other WIs as it is a solution specific to IAB only.</w:t>
      </w:r>
    </w:p>
    <w:p w14:paraId="5E1D1711" w14:textId="629A6A9F" w:rsidR="00B50706" w:rsidRDefault="00AD7A58" w:rsidP="00AD7A58">
      <w:r>
        <w:t>Base on the points above, we would like to restate our proposal not to discuss multi-MT support in IAB WI, which does not preclude multi-MT implementations without specifications impact to be developed:</w:t>
      </w:r>
    </w:p>
    <w:p w14:paraId="58F938BE" w14:textId="50B3AB33" w:rsidR="00AD7A58" w:rsidRPr="00AD7A58" w:rsidRDefault="00AD7A58" w:rsidP="00AD7A58">
      <w:pPr>
        <w:rPr>
          <w:b/>
        </w:rPr>
      </w:pPr>
      <w:r w:rsidRPr="00AD7A58">
        <w:rPr>
          <w:b/>
        </w:rPr>
        <w:t xml:space="preserve">Proposal </w:t>
      </w:r>
      <w:r>
        <w:rPr>
          <w:b/>
        </w:rPr>
        <w:t>1</w:t>
      </w:r>
      <w:r w:rsidRPr="00AD7A58">
        <w:rPr>
          <w:b/>
        </w:rPr>
        <w:t xml:space="preserve">: RAN2 should work on route redundancy support based on multi-connectivity using the NR-DC framework. No work specific to support of multiple MT functions in a single IAB node </w:t>
      </w:r>
      <w:r>
        <w:rPr>
          <w:b/>
        </w:rPr>
        <w:t xml:space="preserve">should </w:t>
      </w:r>
      <w:r w:rsidRPr="00AD7A58">
        <w:rPr>
          <w:b/>
        </w:rPr>
        <w:t>be done.</w:t>
      </w:r>
    </w:p>
    <w:p w14:paraId="31269B9B" w14:textId="12F56470" w:rsidR="00AB3313" w:rsidRDefault="00AB3313" w:rsidP="00B50706">
      <w:r>
        <w:t xml:space="preserve">When it comes to a topic of RLF handling with NR-DC, we have previously proposed in [2] </w:t>
      </w:r>
      <w:r w:rsidR="006E1EB9">
        <w:t xml:space="preserve">that at least for the sake of IAB BH link RLF in IAB scenarios, </w:t>
      </w:r>
      <w:r w:rsidR="006E1EB9" w:rsidRPr="006E1EB9">
        <w:t xml:space="preserve">NR-DC should support MCG failure (MCG-RLF) information reporting to MN via </w:t>
      </w:r>
      <w:r w:rsidR="006E1EB9" w:rsidRPr="006E1EB9">
        <w:lastRenderedPageBreak/>
        <w:t>SN (e.g. using split SRB1 or SRB3)</w:t>
      </w:r>
      <w:r w:rsidR="006E1EB9">
        <w:t xml:space="preserve"> and that </w:t>
      </w:r>
      <w:r w:rsidR="006E1EB9" w:rsidRPr="006E1EB9">
        <w:t>MT of an IAB node operating in NR-DC mode should not trigger RRC Reestablishment procedure in case SCG path is operational.</w:t>
      </w:r>
      <w:r w:rsidR="00A50756">
        <w:t xml:space="preserve"> The topic of fast MCG recovery is considered in </w:t>
      </w:r>
      <w:r w:rsidR="004E08CA">
        <w:t>NR/DC enhancements WI and the following agreements were reached during RAN2#105 meeting:</w:t>
      </w:r>
    </w:p>
    <w:p w14:paraId="0B698411" w14:textId="77777777" w:rsidR="004E08CA" w:rsidRPr="008308A0" w:rsidRDefault="004E08CA" w:rsidP="004E08CA">
      <w:pPr>
        <w:pStyle w:val="Doc-text2"/>
        <w:pBdr>
          <w:top w:val="single" w:sz="4" w:space="1" w:color="auto"/>
          <w:left w:val="single" w:sz="4" w:space="4" w:color="auto"/>
          <w:bottom w:val="single" w:sz="4" w:space="1" w:color="auto"/>
          <w:right w:val="single" w:sz="4" w:space="4" w:color="auto"/>
        </w:pBdr>
        <w:rPr>
          <w:b/>
        </w:rPr>
      </w:pPr>
      <w:r w:rsidRPr="008308A0">
        <w:rPr>
          <w:b/>
        </w:rPr>
        <w:t>Agreements</w:t>
      </w:r>
    </w:p>
    <w:p w14:paraId="69FC415C" w14:textId="77777777" w:rsidR="004E08CA" w:rsidRPr="00063F93" w:rsidRDefault="004E08CA" w:rsidP="004E08CA">
      <w:pPr>
        <w:pStyle w:val="Doc-text2"/>
        <w:numPr>
          <w:ilvl w:val="0"/>
          <w:numId w:val="10"/>
        </w:numPr>
        <w:pBdr>
          <w:top w:val="single" w:sz="4" w:space="1" w:color="auto"/>
          <w:left w:val="single" w:sz="4" w:space="4" w:color="auto"/>
          <w:bottom w:val="single" w:sz="4" w:space="1" w:color="auto"/>
          <w:right w:val="single" w:sz="4" w:space="4" w:color="auto"/>
        </w:pBdr>
      </w:pPr>
      <w:r>
        <w:t>MCG failure can be indicated to the network via the SCG. FFS if</w:t>
      </w:r>
      <w:r w:rsidRPr="00063F93">
        <w:rPr>
          <w:i/>
        </w:rPr>
        <w:t xml:space="preserve"> </w:t>
      </w:r>
      <w:r w:rsidRPr="00063F93">
        <w:t xml:space="preserve">via </w:t>
      </w:r>
      <w:proofErr w:type="spellStart"/>
      <w:r w:rsidRPr="00063F93">
        <w:t>SCells</w:t>
      </w:r>
      <w:proofErr w:type="spellEnd"/>
      <w:r w:rsidRPr="00063F93">
        <w:t xml:space="preserve">. </w:t>
      </w:r>
    </w:p>
    <w:p w14:paraId="0D6467AD" w14:textId="77777777" w:rsidR="004E08CA" w:rsidRDefault="004E08CA" w:rsidP="004E08CA">
      <w:pPr>
        <w:pStyle w:val="Doc-text2"/>
        <w:numPr>
          <w:ilvl w:val="0"/>
          <w:numId w:val="10"/>
        </w:numPr>
        <w:pBdr>
          <w:top w:val="single" w:sz="4" w:space="1" w:color="auto"/>
          <w:left w:val="single" w:sz="4" w:space="4" w:color="auto"/>
          <w:bottom w:val="single" w:sz="4" w:space="1" w:color="auto"/>
          <w:right w:val="single" w:sz="4" w:space="4" w:color="auto"/>
        </w:pBdr>
      </w:pPr>
      <w:r>
        <w:t xml:space="preserve">FFS how the failure is indicated, which SRBs, and which failure case the fast MCG failure recovery.  </w:t>
      </w:r>
    </w:p>
    <w:p w14:paraId="5FEA17FC" w14:textId="77777777" w:rsidR="004E08CA" w:rsidRDefault="004E08CA" w:rsidP="004E08CA">
      <w:pPr>
        <w:pStyle w:val="Doc-text2"/>
        <w:numPr>
          <w:ilvl w:val="0"/>
          <w:numId w:val="10"/>
        </w:numPr>
        <w:pBdr>
          <w:top w:val="single" w:sz="4" w:space="1" w:color="auto"/>
          <w:left w:val="single" w:sz="4" w:space="4" w:color="auto"/>
          <w:bottom w:val="single" w:sz="4" w:space="1" w:color="auto"/>
          <w:right w:val="single" w:sz="4" w:space="4" w:color="auto"/>
        </w:pBdr>
      </w:pPr>
      <w:r>
        <w:t xml:space="preserve">We will aim to have a unified solution for the failure cases that we want to address. </w:t>
      </w:r>
    </w:p>
    <w:p w14:paraId="592BD64D" w14:textId="6B1AE092" w:rsidR="004E08CA" w:rsidRDefault="004E08CA" w:rsidP="00B50706"/>
    <w:p w14:paraId="0126309D" w14:textId="0D8D5037" w:rsidR="004E08CA" w:rsidRDefault="004E08CA" w:rsidP="00B50706">
      <w:r>
        <w:t xml:space="preserve">Based on that, </w:t>
      </w:r>
      <w:proofErr w:type="gramStart"/>
      <w:r>
        <w:t>it can be seen that the</w:t>
      </w:r>
      <w:proofErr w:type="gramEnd"/>
      <w:r>
        <w:t xml:space="preserve"> topic is already being discussed and that there is an intention to specify a unified solution for all the cases, which should include also IAB. Therefore, there is no need to work on this topic specifically in IAB WI, which allows us to focus on other issues and just reuse the enhancements defined in DC/CA enhancements WI.</w:t>
      </w:r>
    </w:p>
    <w:p w14:paraId="014AF7F2" w14:textId="0545FBF3" w:rsidR="004E08CA" w:rsidRPr="004E08CA" w:rsidRDefault="004E08CA" w:rsidP="00B50706">
      <w:pPr>
        <w:rPr>
          <w:b/>
        </w:rPr>
      </w:pPr>
      <w:r>
        <w:rPr>
          <w:b/>
        </w:rPr>
        <w:t xml:space="preserve">Observation 1: There is no need for work on enhancements of MCG failure handling for </w:t>
      </w:r>
      <w:r w:rsidRPr="004E08CA">
        <w:rPr>
          <w:b/>
        </w:rPr>
        <w:t>dual-connected IAB node</w:t>
      </w:r>
      <w:r>
        <w:rPr>
          <w:b/>
        </w:rPr>
        <w:t xml:space="preserve"> in IAB WI. The related work is already handled as part of DC/CA enhancements WI.</w:t>
      </w:r>
    </w:p>
    <w:p w14:paraId="75448B95" w14:textId="75684551" w:rsidR="004B472E" w:rsidRPr="00212C18" w:rsidRDefault="004B472E" w:rsidP="004B472E">
      <w:pPr>
        <w:pStyle w:val="Heading1"/>
      </w:pPr>
      <w:r>
        <w:t>3</w:t>
      </w:r>
      <w:r w:rsidRPr="00212C18">
        <w:tab/>
      </w:r>
      <w:r>
        <w:t>RLF in single-connected IAB node</w:t>
      </w:r>
    </w:p>
    <w:p w14:paraId="258D285F" w14:textId="155EEB26" w:rsidR="006E1EB9" w:rsidRDefault="004B472E" w:rsidP="00B50706">
      <w:r>
        <w:t>The following was agreed for BH link RFL handling in single-connected IAB node:</w:t>
      </w:r>
    </w:p>
    <w:tbl>
      <w:tblPr>
        <w:tblStyle w:val="TableGrid"/>
        <w:tblW w:w="0" w:type="auto"/>
        <w:tblLook w:val="04A0" w:firstRow="1" w:lastRow="0" w:firstColumn="1" w:lastColumn="0" w:noHBand="0" w:noVBand="1"/>
      </w:tblPr>
      <w:tblGrid>
        <w:gridCol w:w="9631"/>
      </w:tblGrid>
      <w:tr w:rsidR="004B472E" w14:paraId="073E1CC5" w14:textId="77777777" w:rsidTr="004B472E">
        <w:tc>
          <w:tcPr>
            <w:tcW w:w="9631" w:type="dxa"/>
          </w:tcPr>
          <w:p w14:paraId="17DFFEC9" w14:textId="3BCABA3F" w:rsidR="004B472E" w:rsidRDefault="004B472E" w:rsidP="00B50706">
            <w:pPr>
              <w:pStyle w:val="Agreement"/>
            </w:pPr>
            <w:r>
              <w:t>Current UE RLF detection and recovery is reused as baseline</w:t>
            </w:r>
          </w:p>
        </w:tc>
      </w:tr>
    </w:tbl>
    <w:p w14:paraId="0235E405" w14:textId="0402B135" w:rsidR="006E1EB9" w:rsidRDefault="006E1EB9" w:rsidP="00B50706"/>
    <w:p w14:paraId="7654FACB" w14:textId="5C19B976" w:rsidR="00A95680" w:rsidRDefault="006A1C55" w:rsidP="00B50706">
      <w:r>
        <w:t xml:space="preserve">It is also proposed in </w:t>
      </w:r>
      <w:r w:rsidR="006245AF">
        <w:t>the e-mail discussion summary of “</w:t>
      </w:r>
      <w:r w:rsidR="006245AF" w:rsidRPr="00B50706">
        <w:t>[105#</w:t>
      </w:r>
      <w:proofErr w:type="gramStart"/>
      <w:r w:rsidR="006245AF" w:rsidRPr="00B50706">
        <w:t>45][</w:t>
      </w:r>
      <w:proofErr w:type="gramEnd"/>
      <w:r w:rsidR="006245AF" w:rsidRPr="00B50706">
        <w:t xml:space="preserve">IAB] R2+R3: IAB </w:t>
      </w:r>
      <w:proofErr w:type="spellStart"/>
      <w:r w:rsidR="006245AF" w:rsidRPr="00B50706">
        <w:t>Misc</w:t>
      </w:r>
      <w:proofErr w:type="spellEnd"/>
      <w:r w:rsidR="006245AF" w:rsidRPr="00B50706">
        <w:t xml:space="preserve"> (Qualcomm)</w:t>
      </w:r>
      <w:r w:rsidR="006245AF">
        <w:t xml:space="preserve">” that </w:t>
      </w:r>
      <w:proofErr w:type="spellStart"/>
      <w:r w:rsidR="006245AF" w:rsidRPr="006245AF">
        <w:t>Uu</w:t>
      </w:r>
      <w:proofErr w:type="spellEnd"/>
      <w:r w:rsidR="006245AF" w:rsidRPr="006245AF">
        <w:t xml:space="preserve"> handover and connection reestablishment procedures are baseline for migration of IAB-node MT.</w:t>
      </w:r>
      <w:r w:rsidR="006245AF">
        <w:t xml:space="preserve"> While we agree this is a baseline, which is already available and can be readily reused, we are at the same time concerned about the interruption times caused by RRC Reestablishment procedure. We think that faster link recovery is required to minimize BH link interruption times in single-connected IAB nodes case.</w:t>
      </w:r>
    </w:p>
    <w:p w14:paraId="61ECCCFD" w14:textId="51DD0897" w:rsidR="006245AF" w:rsidRDefault="006245AF" w:rsidP="00B50706">
      <w:pPr>
        <w:rPr>
          <w:b/>
        </w:rPr>
      </w:pPr>
      <w:r>
        <w:rPr>
          <w:b/>
        </w:rPr>
        <w:t>Proposal 2: RAN2 should investigate means of quick RLF recovery faster than baseline RRC Reestabl</w:t>
      </w:r>
      <w:r w:rsidR="00EE2432">
        <w:rPr>
          <w:b/>
        </w:rPr>
        <w:t>i</w:t>
      </w:r>
      <w:r>
        <w:rPr>
          <w:b/>
        </w:rPr>
        <w:t>shment procedure.</w:t>
      </w:r>
    </w:p>
    <w:p w14:paraId="28E75D0E" w14:textId="7AACA863" w:rsidR="006A4400" w:rsidRDefault="006A4400" w:rsidP="006A4400">
      <w:r>
        <w:t>Some proposals were already captured in the TR during the study phase the TR section devoted to “</w:t>
      </w:r>
      <w:r w:rsidRPr="00E23CFA">
        <w:t>Efficient backhaul-link-failure recovery</w:t>
      </w:r>
      <w:r>
        <w:t>”:</w:t>
      </w:r>
    </w:p>
    <w:tbl>
      <w:tblPr>
        <w:tblStyle w:val="TableGrid"/>
        <w:tblW w:w="0" w:type="auto"/>
        <w:tblLook w:val="04A0" w:firstRow="1" w:lastRow="0" w:firstColumn="1" w:lastColumn="0" w:noHBand="0" w:noVBand="1"/>
      </w:tblPr>
      <w:tblGrid>
        <w:gridCol w:w="9631"/>
      </w:tblGrid>
      <w:tr w:rsidR="006A4400" w14:paraId="2A68E379" w14:textId="77777777" w:rsidTr="005E4D50">
        <w:tc>
          <w:tcPr>
            <w:tcW w:w="9631" w:type="dxa"/>
          </w:tcPr>
          <w:p w14:paraId="4EE99FE7" w14:textId="77777777" w:rsidR="006A4400" w:rsidRPr="00E23CFA" w:rsidRDefault="006A4400" w:rsidP="005E4D50">
            <w:pPr>
              <w:rPr>
                <w:lang w:eastAsia="zh-CN"/>
              </w:rPr>
            </w:pPr>
            <w:r w:rsidRPr="00E23CFA">
              <w:rPr>
                <w:lang w:eastAsia="zh-CN"/>
              </w:rPr>
              <w:t>The following can be considered for recovery from backhaul failures:</w:t>
            </w:r>
          </w:p>
          <w:p w14:paraId="73A83522" w14:textId="77777777" w:rsidR="006A4400" w:rsidRPr="00E23CFA" w:rsidRDefault="006A4400" w:rsidP="005E4D50">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Information can be provided to downstream IAB-nodes regarding backhaul failure including a list of nodes that cannot serve as parent nodes due to the backhaul failure.</w:t>
            </w:r>
          </w:p>
          <w:p w14:paraId="170B5FDA" w14:textId="77777777" w:rsidR="006A4400" w:rsidRDefault="006A4400" w:rsidP="005E4D50">
            <w:pPr>
              <w:pStyle w:val="B1"/>
              <w:rPr>
                <w:lang w:eastAsia="zh-CN"/>
              </w:rPr>
            </w:pPr>
            <w:r w:rsidRPr="00E23CFA">
              <w:rPr>
                <w:rFonts w:eastAsia="Malgun Gothic"/>
                <w:lang w:eastAsia="ko-KR"/>
              </w:rPr>
              <w:t>-</w:t>
            </w:r>
            <w:r w:rsidRPr="00E23CFA">
              <w:rPr>
                <w:rFonts w:eastAsia="Malgun Gothic"/>
                <w:lang w:eastAsia="ko-KR"/>
              </w:rPr>
              <w:tab/>
            </w:r>
            <w:r w:rsidRPr="00E23CFA">
              <w:rPr>
                <w:lang w:eastAsia="zh-CN"/>
              </w:rPr>
              <w:t>Preparation of alternative backhaul links and routes in advance (i.e. before occurrence of RLF).</w:t>
            </w:r>
          </w:p>
        </w:tc>
      </w:tr>
    </w:tbl>
    <w:p w14:paraId="6723F327" w14:textId="77777777" w:rsidR="0023458E" w:rsidRDefault="0023458E" w:rsidP="0023458E"/>
    <w:p w14:paraId="3C87D09D" w14:textId="589855E4" w:rsidR="0023458E" w:rsidRDefault="0023458E" w:rsidP="0023458E">
      <w:r>
        <w:t xml:space="preserve">Similarly, as in the case of NR-DC, the alternative backhaul link can be pre-prepared for IAB node before the RLF </w:t>
      </w:r>
      <w:proofErr w:type="gramStart"/>
      <w:r>
        <w:t>actually happens</w:t>
      </w:r>
      <w:proofErr w:type="gramEnd"/>
      <w:r>
        <w:t>. This means that for example adaptation layer and routing tables can be already configured in the concerned IAB node as well as other IAB nodes on the second path. The only difference with the NR-DC case would be that the radio connection with the second parent is not yet operational.</w:t>
      </w:r>
    </w:p>
    <w:p w14:paraId="415AEF3A" w14:textId="5FF2E5F6" w:rsidR="0023458E" w:rsidRDefault="0023458E" w:rsidP="0023458E">
      <w:pPr>
        <w:rPr>
          <w:b/>
        </w:rPr>
      </w:pPr>
      <w:r>
        <w:rPr>
          <w:b/>
        </w:rPr>
        <w:t xml:space="preserve">Proposal </w:t>
      </w:r>
      <w:r w:rsidR="00EE2432">
        <w:rPr>
          <w:b/>
        </w:rPr>
        <w:t>3</w:t>
      </w:r>
      <w:r>
        <w:rPr>
          <w:b/>
        </w:rPr>
        <w:t>: Donor CU should be able to prepare secondary route for the IAB node to allow for faster RLF recovery even in case the IAB node is not dual-connected. The pre-preparation may include configuring adaptation layer and routing tables on the IAB nodes on the secondary route in advance.</w:t>
      </w:r>
    </w:p>
    <w:p w14:paraId="59A24D20" w14:textId="77777777" w:rsidR="00EE2432" w:rsidRDefault="00EE2432" w:rsidP="00EE2432">
      <w:r>
        <w:t xml:space="preserve">To allow for faster recovery also from radio perspective, the pre-preparation of alternate BH link should be also performed on </w:t>
      </w:r>
      <w:proofErr w:type="spellStart"/>
      <w:r>
        <w:t>Uu</w:t>
      </w:r>
      <w:proofErr w:type="spellEnd"/>
      <w:r>
        <w:t xml:space="preserve"> interface. In NR-DC case this can be addressed by taking advantage of operational SCG link as described above while for single-connected IAB node, other means are needed. One possibility is to enhance RRC Reestablishment procedure, but on the other hand the techniques allowing to avoid it completely could be investigated.</w:t>
      </w:r>
    </w:p>
    <w:p w14:paraId="37D0EFEF" w14:textId="0370559A" w:rsidR="00EE2432" w:rsidRDefault="00EE2432" w:rsidP="00EE2432">
      <w:pPr>
        <w:rPr>
          <w:b/>
        </w:rPr>
      </w:pPr>
      <w:r>
        <w:rPr>
          <w:b/>
        </w:rPr>
        <w:t>Proposal 4: RAN2 should investigate enhancements decreasing BH link interruption time upon RRC Reestablishment or means allowing to avoid RRC Reestablishment triggering.</w:t>
      </w:r>
    </w:p>
    <w:p w14:paraId="338767B6" w14:textId="54B899BD" w:rsidR="00EE2432" w:rsidRDefault="00EE2432" w:rsidP="00EE2432">
      <w:pPr>
        <w:rPr>
          <w:lang w:val="en-US"/>
        </w:rPr>
      </w:pPr>
      <w:r>
        <w:lastRenderedPageBreak/>
        <w:t xml:space="preserve">One way to achieve the latter would be to use a technique </w:t>
      </w:r>
      <w:proofErr w:type="gramStart"/>
      <w:r>
        <w:t>similar to</w:t>
      </w:r>
      <w:proofErr w:type="gramEnd"/>
      <w:r>
        <w:t xml:space="preserve"> or based conditional handover. Although the details of conditional handover are yet to be discussed as part of Mobility WI, the general rule behind it is that </w:t>
      </w:r>
      <w:r w:rsidRPr="003B2C92">
        <w:t>the final decision about when to switch to a target cell/</w:t>
      </w:r>
      <w:proofErr w:type="spellStart"/>
      <w:r w:rsidRPr="003B2C92">
        <w:t>gNB</w:t>
      </w:r>
      <w:proofErr w:type="spellEnd"/>
      <w:r w:rsidRPr="003B2C92">
        <w:t xml:space="preserve"> is made by the UE based on the condition pre-configured by the source cell/</w:t>
      </w:r>
      <w:proofErr w:type="spellStart"/>
      <w:r w:rsidRPr="003B2C92">
        <w:t>gNB</w:t>
      </w:r>
      <w:proofErr w:type="spellEnd"/>
      <w:r w:rsidRPr="003B2C92">
        <w:t xml:space="preserve">. Since the pre-configuration is provided when UE still experiences stable connection with its serving cell, it is possible to avoid a situation where UE’s measurement report does not reach source </w:t>
      </w:r>
      <w:proofErr w:type="spellStart"/>
      <w:r w:rsidRPr="003B2C92">
        <w:t>gNB</w:t>
      </w:r>
      <w:proofErr w:type="spellEnd"/>
      <w:r w:rsidRPr="003B2C92">
        <w:t xml:space="preserve"> or HO command does not reach the UE on time, because of already deteriorated radio conditions.</w:t>
      </w:r>
      <w:r>
        <w:t xml:space="preserve"> As such, it would be a perfect fit for IAB scenarios where </w:t>
      </w:r>
      <w:r>
        <w:rPr>
          <w:lang w:val="en-US"/>
        </w:rPr>
        <w:t xml:space="preserve">IAB nodes will operate in a defined topology, i.e. will have a specified parent node and a set of candidate parent nodes, i.e. the ones they can switch to in case of, e.g. blockage or current parent node failure. It is not yet clear how the design of conditional handover for NR will look like, but it is important to ensure that IAB requirements are taken into consideration while it is being developed. In the conditional HO discussions thus far (e.g. in Rel-15) companies focused on </w:t>
      </w:r>
      <w:r w:rsidRPr="003F7F29">
        <w:rPr>
          <w:lang w:val="en-US"/>
        </w:rPr>
        <w:t>access UEs</w:t>
      </w:r>
      <w:r>
        <w:rPr>
          <w:lang w:val="en-US"/>
        </w:rPr>
        <w:t xml:space="preserve">, which could be </w:t>
      </w:r>
      <w:r w:rsidRPr="003F7F29">
        <w:rPr>
          <w:lang w:val="en-US"/>
        </w:rPr>
        <w:t>moving through the network</w:t>
      </w:r>
      <w:r>
        <w:rPr>
          <w:lang w:val="en-US"/>
        </w:rPr>
        <w:t xml:space="preserve"> relatively fast</w:t>
      </w:r>
      <w:r w:rsidRPr="003F7F29">
        <w:rPr>
          <w:lang w:val="en-US"/>
        </w:rPr>
        <w:t>. In the IAB deployments, the main reason for changing parent node of an IAB node would be due to link failure or its significant deterioration and not due to mobility. Thus, traditionally used HO triggers based on mobility events may not be applicable in these scenarios</w:t>
      </w:r>
      <w:r>
        <w:rPr>
          <w:lang w:val="en-US"/>
        </w:rPr>
        <w:t xml:space="preserve">, e.g. RRM measurements </w:t>
      </w:r>
      <w:r w:rsidRPr="003F7F29">
        <w:rPr>
          <w:lang w:val="en-US"/>
        </w:rPr>
        <w:t xml:space="preserve">are filtered with L3 filter, which slows down the </w:t>
      </w:r>
      <w:r>
        <w:rPr>
          <w:lang w:val="en-US"/>
        </w:rPr>
        <w:t xml:space="preserve">mobility </w:t>
      </w:r>
      <w:r w:rsidRPr="003F7F29">
        <w:rPr>
          <w:lang w:val="en-US"/>
        </w:rPr>
        <w:t>procedure. This is an intended effect for traditional mobility, but in case of fixed IAB nodes, which are subject to blockage, it will increase service interruption time while not bringing any benefit.</w:t>
      </w:r>
      <w:r>
        <w:rPr>
          <w:lang w:val="en-US"/>
        </w:rPr>
        <w:t xml:space="preserve"> To speed the execution of conditional HO in such cases, it would be better to rely on other means, e.g. based on:</w:t>
      </w:r>
    </w:p>
    <w:p w14:paraId="6CA27394" w14:textId="77777777" w:rsidR="00EE2432" w:rsidRDefault="00EE2432" w:rsidP="00EE2432">
      <w:pPr>
        <w:pStyle w:val="ListParagraph"/>
        <w:numPr>
          <w:ilvl w:val="0"/>
          <w:numId w:val="11"/>
        </w:numPr>
      </w:pPr>
      <w:r>
        <w:t>Beam failure – due to fixed and LOS deployments which are characteristic for IAB architectures, in case a beam configured for the IAB MT part fails, there is little chance another usable beam can be found in the same cell. Instead of proceeding with beam failure recovery procedure, it would be then better to switch to another parent node right-away.</w:t>
      </w:r>
    </w:p>
    <w:p w14:paraId="2F38D307" w14:textId="77777777" w:rsidR="00EE2432" w:rsidRDefault="00EE2432" w:rsidP="00EE2432">
      <w:pPr>
        <w:pStyle w:val="ListParagraph"/>
        <w:numPr>
          <w:ilvl w:val="0"/>
          <w:numId w:val="11"/>
        </w:numPr>
      </w:pPr>
      <w:r>
        <w:t xml:space="preserve">Radio link failure – similar logic could apply to RLF, i.e., instead of trying to re-establish a connection with a current or another parent node, proceeding with conditional handover to switch the parent node would work faster. </w:t>
      </w:r>
    </w:p>
    <w:p w14:paraId="32047A80" w14:textId="77777777" w:rsidR="00EE2432" w:rsidRDefault="00EE2432" w:rsidP="00EE2432">
      <w:pPr>
        <w:pStyle w:val="ListParagraph"/>
        <w:numPr>
          <w:ilvl w:val="0"/>
          <w:numId w:val="11"/>
        </w:numPr>
      </w:pPr>
      <w:r>
        <w:t>Physical layer issues indication – to accelerate the procedure even more UE could execute conditional HO based on physical layer issues used for radio link monitoring.</w:t>
      </w:r>
    </w:p>
    <w:p w14:paraId="0D875A63" w14:textId="5BA35BFD" w:rsidR="00EE2432" w:rsidRDefault="00EE2432" w:rsidP="00EE2432">
      <w:r>
        <w:t>It is therefore proposed that:</w:t>
      </w:r>
    </w:p>
    <w:p w14:paraId="250CD36D" w14:textId="7B842532" w:rsidR="00EE2432" w:rsidRDefault="00EE2432" w:rsidP="00EE2432">
      <w:pPr>
        <w:rPr>
          <w:b/>
        </w:rPr>
      </w:pPr>
      <w:r>
        <w:rPr>
          <w:b/>
        </w:rPr>
        <w:t xml:space="preserve">Proposal 5: </w:t>
      </w:r>
      <w:r w:rsidR="006659B8">
        <w:rPr>
          <w:b/>
        </w:rPr>
        <w:t>It should be possible for the IAB node to trigger handover to a pre-prepared parent node candidate upon detecting issues with BH link with its current parent node, e.g. based on detecting BH link RLF.</w:t>
      </w:r>
    </w:p>
    <w:p w14:paraId="70DC5ADC" w14:textId="6167D751" w:rsidR="00EE2432" w:rsidRDefault="006659B8" w:rsidP="00EE2432">
      <w:r>
        <w:t xml:space="preserve">Once the Work Item on mobility progresses, we can further check whether such mechanism can be modelled as part of conditional handover framework or it should </w:t>
      </w:r>
      <w:bookmarkStart w:id="0" w:name="_GoBack"/>
      <w:bookmarkEnd w:id="0"/>
      <w:r>
        <w:t xml:space="preserve">be specified as part of IAB WI. Another potential enhancement which could be reused in IAB scenarios is RACH-less handover, which can </w:t>
      </w:r>
      <w:r w:rsidR="00EE2432">
        <w:t xml:space="preserve">be leveraged to further decrease the time for which BH link is not available. </w:t>
      </w:r>
      <w:r>
        <w:t>D</w:t>
      </w:r>
      <w:r w:rsidR="00EE2432" w:rsidRPr="001823FE">
        <w:t>ue to fixed nature of IAB nodes, the candidate parent nodes can be known in advance</w:t>
      </w:r>
      <w:r w:rsidR="00EE2432">
        <w:t xml:space="preserve"> and</w:t>
      </w:r>
      <w:r w:rsidR="00EE2432" w:rsidRPr="001823FE">
        <w:t xml:space="preserve"> it is possible to get the appropriate timing advance</w:t>
      </w:r>
      <w:r w:rsidR="00EE2432">
        <w:t xml:space="preserve"> </w:t>
      </w:r>
      <w:r w:rsidR="00EE2432" w:rsidRPr="001823FE">
        <w:t xml:space="preserve">value </w:t>
      </w:r>
      <w:r w:rsidR="00EE2432">
        <w:t>(e.g. via measurements performed by IAB nodes)</w:t>
      </w:r>
      <w:r w:rsidR="00EE2432" w:rsidRPr="001823FE">
        <w:t xml:space="preserve"> before the need to switch the link </w:t>
      </w:r>
      <w:proofErr w:type="gramStart"/>
      <w:r w:rsidR="00EE2432" w:rsidRPr="001823FE">
        <w:t>actually occurs</w:t>
      </w:r>
      <w:proofErr w:type="gramEnd"/>
      <w:r w:rsidR="00EE2432" w:rsidRPr="001823FE">
        <w:t xml:space="preserve"> and store it for future use.</w:t>
      </w:r>
    </w:p>
    <w:p w14:paraId="5FF2457F" w14:textId="3C1D40BA" w:rsidR="00A209D6" w:rsidRPr="00700E71" w:rsidRDefault="00A209D6" w:rsidP="00A209D6">
      <w:pPr>
        <w:pStyle w:val="Heading1"/>
      </w:pPr>
      <w:r w:rsidRPr="00700E71">
        <w:t>4</w:t>
      </w:r>
      <w:r w:rsidRPr="00700E71">
        <w:tab/>
      </w:r>
      <w:r w:rsidR="003E2413" w:rsidRPr="00700E71">
        <w:t>Conclusion</w:t>
      </w:r>
      <w:r w:rsidR="00700E71" w:rsidRPr="00700E71">
        <w:t>s</w:t>
      </w:r>
    </w:p>
    <w:p w14:paraId="6C60FFDC" w14:textId="3295EAE2" w:rsidR="00A209D6" w:rsidRPr="00700E71" w:rsidRDefault="00700E71" w:rsidP="00A209D6">
      <w:r w:rsidRPr="00700E71">
        <w:t>Based on the discussion in the paper, it is proposed to agree on the following:</w:t>
      </w:r>
    </w:p>
    <w:p w14:paraId="62A8284E" w14:textId="77777777" w:rsidR="00700E71" w:rsidRPr="00AD7A58" w:rsidRDefault="00700E71" w:rsidP="00700E71">
      <w:pPr>
        <w:rPr>
          <w:b/>
        </w:rPr>
      </w:pPr>
      <w:r w:rsidRPr="00AD7A58">
        <w:rPr>
          <w:b/>
        </w:rPr>
        <w:t xml:space="preserve">Proposal </w:t>
      </w:r>
      <w:r>
        <w:rPr>
          <w:b/>
        </w:rPr>
        <w:t>1</w:t>
      </w:r>
      <w:r w:rsidRPr="00AD7A58">
        <w:rPr>
          <w:b/>
        </w:rPr>
        <w:t xml:space="preserve">: RAN2 should work on route redundancy support based on multi-connectivity using the NR-DC framework. No work specific to support of multiple MT functions in a single IAB node </w:t>
      </w:r>
      <w:r>
        <w:rPr>
          <w:b/>
        </w:rPr>
        <w:t xml:space="preserve">should </w:t>
      </w:r>
      <w:r w:rsidRPr="00AD7A58">
        <w:rPr>
          <w:b/>
        </w:rPr>
        <w:t>be done.</w:t>
      </w:r>
    </w:p>
    <w:p w14:paraId="0ACCBCBD" w14:textId="77777777" w:rsidR="00700E71" w:rsidRDefault="00700E71" w:rsidP="00700E71">
      <w:pPr>
        <w:rPr>
          <w:b/>
        </w:rPr>
      </w:pPr>
      <w:r>
        <w:rPr>
          <w:b/>
        </w:rPr>
        <w:t>Proposal 2: RAN2 should investigate means of quick RLF recovery faster than baseline RRC Reestablishment procedure.</w:t>
      </w:r>
    </w:p>
    <w:p w14:paraId="6B715B80" w14:textId="77777777" w:rsidR="00700E71" w:rsidRDefault="00700E71" w:rsidP="00700E71">
      <w:pPr>
        <w:rPr>
          <w:b/>
        </w:rPr>
      </w:pPr>
      <w:r>
        <w:rPr>
          <w:b/>
        </w:rPr>
        <w:t>Proposal 3: Donor CU should be able to prepare secondary route for the IAB node to allow for faster RLF recovery even in case the IAB node is not dual-connected. The pre-preparation may include configuring adaptation layer and routing tables on the IAB nodes on the secondary route in advance.</w:t>
      </w:r>
    </w:p>
    <w:p w14:paraId="76D02A38" w14:textId="77777777" w:rsidR="00700E71" w:rsidRDefault="00700E71" w:rsidP="00700E71">
      <w:pPr>
        <w:rPr>
          <w:b/>
        </w:rPr>
      </w:pPr>
      <w:r>
        <w:rPr>
          <w:b/>
        </w:rPr>
        <w:t>Proposal 4: RAN2 should investigate enhancements decreasing BH link interruption time upon RRC Reestablishment or means allowing to avoid RRC Reestablishment triggering.</w:t>
      </w:r>
    </w:p>
    <w:p w14:paraId="2AF095C4" w14:textId="77777777" w:rsidR="00700E71" w:rsidRDefault="00700E71" w:rsidP="00700E71">
      <w:pPr>
        <w:rPr>
          <w:b/>
        </w:rPr>
      </w:pPr>
      <w:r>
        <w:rPr>
          <w:b/>
        </w:rPr>
        <w:t>Proposal 5: It should be possible for the IAB node to trigger handover to a pre-prepared parent node candidate upon detecting issues with BH link with its current parent node, e.g. based on detecting BH link RLF.</w:t>
      </w:r>
    </w:p>
    <w:p w14:paraId="60449C3F" w14:textId="77777777" w:rsidR="00A209D6" w:rsidRPr="00700E71" w:rsidRDefault="00A209D6" w:rsidP="00A209D6"/>
    <w:p w14:paraId="432B0A82" w14:textId="3472A3BA" w:rsidR="00A209D6" w:rsidRPr="00212C18" w:rsidRDefault="00C373B5" w:rsidP="003E2413">
      <w:pPr>
        <w:pStyle w:val="Heading1"/>
      </w:pPr>
      <w:r w:rsidRPr="00212C18">
        <w:lastRenderedPageBreak/>
        <w:t>References</w:t>
      </w:r>
    </w:p>
    <w:p w14:paraId="7B91B03E" w14:textId="365CD41C" w:rsidR="00B938B4" w:rsidRPr="00B50706" w:rsidRDefault="00C373B5" w:rsidP="00B50706">
      <w:r w:rsidRPr="00212C18">
        <w:t>[1]</w:t>
      </w:r>
      <w:r w:rsidRPr="00212C18">
        <w:tab/>
      </w:r>
      <w:r w:rsidR="00B50706" w:rsidRPr="00B50706">
        <w:t>R2-1900628</w:t>
      </w:r>
      <w:r w:rsidR="00B50706">
        <w:t xml:space="preserve">, </w:t>
      </w:r>
      <w:r w:rsidR="00B50706" w:rsidRPr="00B50706">
        <w:rPr>
          <w:i/>
        </w:rPr>
        <w:t>Route redundancy support with multi-connectivity</w:t>
      </w:r>
      <w:r w:rsidR="00B50706">
        <w:t xml:space="preserve">, </w:t>
      </w:r>
      <w:r w:rsidR="00B50706" w:rsidRPr="00B50706">
        <w:t>Nokia, Nokia Shanghai Bell</w:t>
      </w:r>
    </w:p>
    <w:p w14:paraId="653EED19" w14:textId="2329A272" w:rsidR="00A209D6" w:rsidRDefault="00AB3313" w:rsidP="00A209D6">
      <w:r>
        <w:t>[2]</w:t>
      </w:r>
      <w:r>
        <w:tab/>
      </w:r>
      <w:r w:rsidRPr="00B50706">
        <w:t>R2-1900627</w:t>
      </w:r>
      <w:r>
        <w:t xml:space="preserve">, </w:t>
      </w:r>
      <w:r w:rsidRPr="00AB3313">
        <w:rPr>
          <w:i/>
        </w:rPr>
        <w:t>Backhaul link RLF handling</w:t>
      </w:r>
      <w:r>
        <w:t xml:space="preserve">, </w:t>
      </w:r>
      <w:r w:rsidRPr="00AB3313">
        <w:t>Nokia, Nokia Shanghai Bell</w:t>
      </w:r>
    </w:p>
    <w:p w14:paraId="1BA3C0D5" w14:textId="0A8DD30A" w:rsidR="00DD06D8" w:rsidRPr="00212C18" w:rsidRDefault="00DD06D8" w:rsidP="00DD06D8">
      <w:r>
        <w:t>[</w:t>
      </w:r>
      <w:r>
        <w:t>3</w:t>
      </w:r>
      <w:r>
        <w:t>]</w:t>
      </w:r>
      <w:r>
        <w:tab/>
      </w:r>
      <w:r w:rsidRPr="00DD06D8">
        <w:t>R2-1904410</w:t>
      </w:r>
      <w:r>
        <w:t xml:space="preserve">, </w:t>
      </w:r>
      <w:r w:rsidRPr="00DD06D8">
        <w:rPr>
          <w:i/>
        </w:rPr>
        <w:t>BH link RLF notifications</w:t>
      </w:r>
      <w:r>
        <w:t xml:space="preserve">, </w:t>
      </w:r>
      <w:r w:rsidRPr="00AB3313">
        <w:t>Nokia, Nokia Shanghai Bell</w:t>
      </w:r>
    </w:p>
    <w:p w14:paraId="0F49C1FD" w14:textId="77777777" w:rsidR="00DD06D8" w:rsidRPr="00212C18" w:rsidRDefault="00DD06D8"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86DD" w14:textId="77777777" w:rsidR="00E5319F" w:rsidRDefault="00E5319F">
      <w:r>
        <w:separator/>
      </w:r>
    </w:p>
  </w:endnote>
  <w:endnote w:type="continuationSeparator" w:id="0">
    <w:p w14:paraId="334BFCE3"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17E1" w14:textId="77777777" w:rsidR="00E5319F" w:rsidRDefault="00E5319F">
      <w:r>
        <w:separator/>
      </w:r>
    </w:p>
  </w:footnote>
  <w:footnote w:type="continuationSeparator" w:id="0">
    <w:p w14:paraId="74D37506" w14:textId="77777777" w:rsidR="00E5319F" w:rsidRDefault="00E5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B49C9"/>
    <w:rsid w:val="001C4584"/>
    <w:rsid w:val="001C4F79"/>
    <w:rsid w:val="001D43A4"/>
    <w:rsid w:val="001F168B"/>
    <w:rsid w:val="001F7831"/>
    <w:rsid w:val="00204045"/>
    <w:rsid w:val="0020712B"/>
    <w:rsid w:val="00212C18"/>
    <w:rsid w:val="0022606D"/>
    <w:rsid w:val="00231728"/>
    <w:rsid w:val="0023458E"/>
    <w:rsid w:val="002610D8"/>
    <w:rsid w:val="002747EC"/>
    <w:rsid w:val="002855BF"/>
    <w:rsid w:val="00294879"/>
    <w:rsid w:val="002D065B"/>
    <w:rsid w:val="002E702D"/>
    <w:rsid w:val="002F0D22"/>
    <w:rsid w:val="002F712E"/>
    <w:rsid w:val="003172DC"/>
    <w:rsid w:val="00325AE3"/>
    <w:rsid w:val="00326069"/>
    <w:rsid w:val="0035462D"/>
    <w:rsid w:val="00364B41"/>
    <w:rsid w:val="0038174B"/>
    <w:rsid w:val="00383096"/>
    <w:rsid w:val="003A41EF"/>
    <w:rsid w:val="003B37CE"/>
    <w:rsid w:val="003B40AD"/>
    <w:rsid w:val="003C4E37"/>
    <w:rsid w:val="003E16BE"/>
    <w:rsid w:val="003E2413"/>
    <w:rsid w:val="003F4E28"/>
    <w:rsid w:val="004006E8"/>
    <w:rsid w:val="00401855"/>
    <w:rsid w:val="00402B0D"/>
    <w:rsid w:val="00410614"/>
    <w:rsid w:val="00465587"/>
    <w:rsid w:val="00477455"/>
    <w:rsid w:val="004A1F7B"/>
    <w:rsid w:val="004B472E"/>
    <w:rsid w:val="004C44D2"/>
    <w:rsid w:val="004D3578"/>
    <w:rsid w:val="004D380D"/>
    <w:rsid w:val="004D5216"/>
    <w:rsid w:val="004E08CA"/>
    <w:rsid w:val="004E213A"/>
    <w:rsid w:val="00503171"/>
    <w:rsid w:val="00506C28"/>
    <w:rsid w:val="00534DA0"/>
    <w:rsid w:val="00543E6C"/>
    <w:rsid w:val="00565087"/>
    <w:rsid w:val="0056573F"/>
    <w:rsid w:val="00611566"/>
    <w:rsid w:val="006245AF"/>
    <w:rsid w:val="00646D99"/>
    <w:rsid w:val="00656910"/>
    <w:rsid w:val="006659B8"/>
    <w:rsid w:val="006A1C55"/>
    <w:rsid w:val="006A4400"/>
    <w:rsid w:val="006C66D8"/>
    <w:rsid w:val="006D1E24"/>
    <w:rsid w:val="006E1417"/>
    <w:rsid w:val="006E1EB9"/>
    <w:rsid w:val="006F6A2C"/>
    <w:rsid w:val="00700E71"/>
    <w:rsid w:val="00710201"/>
    <w:rsid w:val="0072073A"/>
    <w:rsid w:val="007342B5"/>
    <w:rsid w:val="00734A5B"/>
    <w:rsid w:val="00744E76"/>
    <w:rsid w:val="00757D40"/>
    <w:rsid w:val="00781F0F"/>
    <w:rsid w:val="0078727C"/>
    <w:rsid w:val="0079049D"/>
    <w:rsid w:val="00793DC5"/>
    <w:rsid w:val="007B18D8"/>
    <w:rsid w:val="007C095F"/>
    <w:rsid w:val="007C2DD0"/>
    <w:rsid w:val="007F301A"/>
    <w:rsid w:val="008028A4"/>
    <w:rsid w:val="00813245"/>
    <w:rsid w:val="008639C6"/>
    <w:rsid w:val="008768CA"/>
    <w:rsid w:val="00877EF9"/>
    <w:rsid w:val="00880559"/>
    <w:rsid w:val="008B5306"/>
    <w:rsid w:val="008D2E4D"/>
    <w:rsid w:val="008F1984"/>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03B77"/>
    <w:rsid w:val="00A10F02"/>
    <w:rsid w:val="00A1139B"/>
    <w:rsid w:val="00A204CA"/>
    <w:rsid w:val="00A209D6"/>
    <w:rsid w:val="00A328D4"/>
    <w:rsid w:val="00A50756"/>
    <w:rsid w:val="00A53724"/>
    <w:rsid w:val="00A54B2B"/>
    <w:rsid w:val="00A82346"/>
    <w:rsid w:val="00A95680"/>
    <w:rsid w:val="00A9671C"/>
    <w:rsid w:val="00AA1553"/>
    <w:rsid w:val="00AA2288"/>
    <w:rsid w:val="00AB057E"/>
    <w:rsid w:val="00AB3313"/>
    <w:rsid w:val="00AD7A58"/>
    <w:rsid w:val="00AF3BE8"/>
    <w:rsid w:val="00B05380"/>
    <w:rsid w:val="00B05962"/>
    <w:rsid w:val="00B15449"/>
    <w:rsid w:val="00B27303"/>
    <w:rsid w:val="00B47FD1"/>
    <w:rsid w:val="00B50706"/>
    <w:rsid w:val="00B516BB"/>
    <w:rsid w:val="00B84DB2"/>
    <w:rsid w:val="00B938B4"/>
    <w:rsid w:val="00BC3555"/>
    <w:rsid w:val="00C0491E"/>
    <w:rsid w:val="00C12B51"/>
    <w:rsid w:val="00C24650"/>
    <w:rsid w:val="00C25465"/>
    <w:rsid w:val="00C33079"/>
    <w:rsid w:val="00C373B5"/>
    <w:rsid w:val="00C43555"/>
    <w:rsid w:val="00C83A13"/>
    <w:rsid w:val="00C9068C"/>
    <w:rsid w:val="00C92967"/>
    <w:rsid w:val="00CA3D0C"/>
    <w:rsid w:val="00CA654B"/>
    <w:rsid w:val="00CB72B8"/>
    <w:rsid w:val="00CD4C7B"/>
    <w:rsid w:val="00CE009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06D8"/>
    <w:rsid w:val="00E46C08"/>
    <w:rsid w:val="00E471CF"/>
    <w:rsid w:val="00E5319F"/>
    <w:rsid w:val="00E62835"/>
    <w:rsid w:val="00E66681"/>
    <w:rsid w:val="00E77645"/>
    <w:rsid w:val="00E83697"/>
    <w:rsid w:val="00EA66C9"/>
    <w:rsid w:val="00EC4A25"/>
    <w:rsid w:val="00EE2432"/>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D181E"/>
    <w:rsid w:val="00FE251B"/>
    <w:rsid w:val="00FF7D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5AIRPNAIUNRU-859666464-4916</_dlc_DocId>
    <_dlc_DocIdUrl xmlns="71c5aaf6-e6ce-465b-b873-5148d2a4c105">
      <Url>https://nokia.sharepoint.com/sites/c5g/e2earch/_layouts/15/DocIdRedir.aspx?ID=5AIRPNAIUNRU-859666464-4916</Url>
      <Description>5AIRPNAIUNRU-859666464-4916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www.w3.org/XML/1998/namespace"/>
    <ds:schemaRef ds:uri="http://purl.org/dc/terms/"/>
    <ds:schemaRef ds:uri="http://purl.org/dc/elements/1.1/"/>
    <ds:schemaRef ds:uri="http://schemas.microsoft.com/office/2006/documentManagement/types"/>
    <ds:schemaRef ds:uri="71c5aaf6-e6ce-465b-b873-5148d2a4c105"/>
    <ds:schemaRef ds:uri="a3840f4f-04be-43d1-b2ef-6ff1382503c7"/>
    <ds:schemaRef ds:uri="3b34c8f0-1ef5-4d1e-bb66-517ce7fe7356"/>
    <ds:schemaRef ds:uri="http://schemas.openxmlformats.org/package/2006/metadata/core-properties"/>
    <ds:schemaRef ds:uri="83f22d2f-d16e-4be6-ad4f-29fa0b067c3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CE83110-9267-4EF2-ABF0-96C35B85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302</TotalTime>
  <Pages>4</Pages>
  <Words>1905</Words>
  <Characters>9682</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29</cp:revision>
  <dcterms:created xsi:type="dcterms:W3CDTF">2019-03-22T15:15:00Z</dcterms:created>
  <dcterms:modified xsi:type="dcterms:W3CDTF">2019-03-28T17:43:00Z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c914119e-705e-4e0c-865e-8f5099893c76</vt:lpwstr>
  </property>
  <property fmtid="{D5CDD505-2E9C-101B-9397-08002B2CF9AE}" pid="4" name="AuthorIds_UIVersion_1024">
    <vt:lpwstr>134</vt:lpwstr>
  </property>
</Properties>
</file>